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99E" w:rsidRPr="00ED0FEA" w:rsidRDefault="0077099E" w:rsidP="0077099E">
      <w:pPr>
        <w:ind w:left="720"/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>3.11 Денсаулық және денсаулық сақтау</w:t>
      </w:r>
    </w:p>
    <w:p w:rsidR="0077099E" w:rsidRPr="00ED0FEA" w:rsidRDefault="0077099E" w:rsidP="0077099E">
      <w:pPr>
        <w:jc w:val="both"/>
        <w:rPr>
          <w:szCs w:val="28"/>
          <w:lang w:val="kk-KZ"/>
        </w:rPr>
      </w:pPr>
    </w:p>
    <w:p w:rsidR="0077099E" w:rsidRPr="00ED0FEA" w:rsidRDefault="0077099E" w:rsidP="0077099E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1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Денсаулық және денсаулық сақтау – әлеуметтік мәселе. Ауруға теориялық көзқарастар. //282-287</w:t>
      </w:r>
    </w:p>
    <w:p w:rsidR="0077099E" w:rsidRPr="00ED0FEA" w:rsidRDefault="0077099E" w:rsidP="0077099E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2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Денсаулық пен аурудың әлеуметтік себептері, саулық пен науқастың әлеуметтік таралуы, менталдық аурулар. //292-297</w:t>
      </w:r>
    </w:p>
    <w:p w:rsidR="0077099E" w:rsidRPr="00ED0FEA" w:rsidRDefault="0077099E" w:rsidP="0077099E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3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Денсаулық сақтау саласында жұмыс істеу. //299-302</w:t>
      </w:r>
    </w:p>
    <w:p w:rsidR="0077099E" w:rsidRPr="00ED0FEA" w:rsidRDefault="0077099E" w:rsidP="0077099E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4</w:t>
      </w:r>
      <w:r>
        <w:rPr>
          <w:szCs w:val="28"/>
          <w:lang w:val="kk-KZ"/>
        </w:rPr>
        <w:t xml:space="preserve">. </w:t>
      </w:r>
      <w:r w:rsidRPr="00ED0FEA">
        <w:rPr>
          <w:szCs w:val="28"/>
          <w:lang w:val="kk-KZ"/>
        </w:rPr>
        <w:t>АҚШ-тағы және басқа елдердегі денсаулық сақтау саласы. //302-305</w:t>
      </w:r>
    </w:p>
    <w:p w:rsidR="0077099E" w:rsidRPr="00ED0FEA" w:rsidRDefault="0077099E" w:rsidP="0077099E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5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Қазақстандағы жағдай.</w:t>
      </w:r>
    </w:p>
    <w:p w:rsidR="0077099E" w:rsidRPr="00ED0FEA" w:rsidRDefault="0077099E" w:rsidP="0077099E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77099E" w:rsidRPr="00ED0FEA" w:rsidRDefault="0077099E" w:rsidP="0077099E">
      <w:pPr>
        <w:jc w:val="center"/>
        <w:rPr>
          <w:szCs w:val="28"/>
          <w:lang w:val="kk-KZ"/>
        </w:rPr>
      </w:pPr>
    </w:p>
    <w:p w:rsidR="0077099E" w:rsidRPr="00ED0FEA" w:rsidRDefault="0077099E" w:rsidP="0077099E">
      <w:pPr>
        <w:jc w:val="center"/>
        <w:rPr>
          <w:szCs w:val="28"/>
          <w:lang w:val="kk-KZ"/>
        </w:rPr>
      </w:pPr>
    </w:p>
    <w:p w:rsidR="0077099E" w:rsidRPr="00ED0FEA" w:rsidRDefault="0077099E" w:rsidP="0077099E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Студенттер мен оқытушының  өздік жұмыстарының тапсырмалары </w:t>
      </w:r>
    </w:p>
    <w:p w:rsidR="0077099E" w:rsidRPr="00ED0FEA" w:rsidRDefault="0077099E" w:rsidP="0077099E">
      <w:pPr>
        <w:jc w:val="both"/>
        <w:rPr>
          <w:szCs w:val="28"/>
          <w:lang w:val="kk-KZ"/>
        </w:rPr>
      </w:pPr>
    </w:p>
    <w:p w:rsidR="0077099E" w:rsidRPr="00ED0FEA" w:rsidRDefault="0077099E" w:rsidP="0077099E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ED0FEA">
        <w:rPr>
          <w:color w:val="auto"/>
          <w:sz w:val="28"/>
          <w:szCs w:val="28"/>
          <w:lang w:val="kk-KZ"/>
        </w:rPr>
        <w:t>Кесте - 291 б.</w:t>
      </w:r>
    </w:p>
    <w:p w:rsidR="0077099E" w:rsidRPr="00ED0FEA" w:rsidRDefault="0077099E" w:rsidP="0077099E">
      <w:pPr>
        <w:pStyle w:val="Default"/>
        <w:jc w:val="both"/>
        <w:rPr>
          <w:color w:val="auto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2551"/>
        <w:gridCol w:w="3084"/>
      </w:tblGrid>
      <w:tr w:rsidR="0077099E" w:rsidRPr="00ED0FEA" w:rsidTr="0028539C">
        <w:trPr>
          <w:trHeight w:val="693"/>
        </w:trPr>
        <w:tc>
          <w:tcPr>
            <w:tcW w:w="3936" w:type="dxa"/>
            <w:vMerge w:val="restart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Адамдардың салауатты әдеттерді қалыптастыруы бірнеше себепке байланысты</w:t>
            </w:r>
          </w:p>
        </w:tc>
        <w:tc>
          <w:tcPr>
            <w:tcW w:w="5635" w:type="dxa"/>
            <w:gridSpan w:val="2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Салауатты әдеттерді қалыптастыру</w:t>
            </w:r>
          </w:p>
        </w:tc>
      </w:tr>
      <w:tr w:rsidR="0077099E" w:rsidRPr="00ED0FEA" w:rsidTr="0028539C">
        <w:trPr>
          <w:trHeight w:val="598"/>
        </w:trPr>
        <w:tc>
          <w:tcPr>
            <w:tcW w:w="3936" w:type="dxa"/>
            <w:vMerge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551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Мүмкін</w:t>
            </w:r>
          </w:p>
        </w:tc>
        <w:tc>
          <w:tcPr>
            <w:tcW w:w="3084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Мүмкін емес</w:t>
            </w:r>
          </w:p>
        </w:tc>
      </w:tr>
      <w:tr w:rsidR="0077099E" w:rsidRPr="00ED0FEA" w:rsidTr="0028539C">
        <w:tc>
          <w:tcPr>
            <w:tcW w:w="3936" w:type="dxa"/>
          </w:tcPr>
          <w:p w:rsidR="0077099E" w:rsidRPr="00ED0FEA" w:rsidRDefault="0077099E" w:rsidP="0028539C">
            <w:pPr>
              <w:pStyle w:val="Default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Ауруға душар болуы мүмкін деп сенеді</w:t>
            </w:r>
          </w:p>
        </w:tc>
        <w:tc>
          <w:tcPr>
            <w:tcW w:w="2551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084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77099E" w:rsidRPr="00ED0FEA" w:rsidTr="0028539C">
        <w:tc>
          <w:tcPr>
            <w:tcW w:w="3936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Денсаулығына төнген қатер аса қауіпті деп сенеді</w:t>
            </w:r>
          </w:p>
        </w:tc>
        <w:tc>
          <w:tcPr>
            <w:tcW w:w="2551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084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77099E" w:rsidRPr="00ED0FEA" w:rsidTr="0028539C">
        <w:tc>
          <w:tcPr>
            <w:tcW w:w="3936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Алдын алу шаралары қауіпті азайтады деп сенеді</w:t>
            </w:r>
          </w:p>
        </w:tc>
        <w:tc>
          <w:tcPr>
            <w:tcW w:w="2551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084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77099E" w:rsidRPr="00ED0FEA" w:rsidTr="0028539C">
        <w:tc>
          <w:tcPr>
            <w:tcW w:w="3936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Алдын алу шараларын атқару үшін атқару үшін ешбір кедергілерді елемейді</w:t>
            </w:r>
          </w:p>
        </w:tc>
        <w:tc>
          <w:tcPr>
            <w:tcW w:w="2551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084" w:type="dxa"/>
          </w:tcPr>
          <w:p w:rsidR="0077099E" w:rsidRPr="00ED0FEA" w:rsidRDefault="0077099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</w:tbl>
    <w:p w:rsidR="0077099E" w:rsidRPr="00ED0FEA" w:rsidRDefault="0077099E" w:rsidP="0077099E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77099E" w:rsidRPr="00ED0FEA" w:rsidRDefault="0077099E" w:rsidP="0077099E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77099E" w:rsidRPr="00ED0FEA" w:rsidRDefault="0077099E" w:rsidP="0077099E">
      <w:pPr>
        <w:pStyle w:val="Default"/>
        <w:jc w:val="both"/>
        <w:rPr>
          <w:sz w:val="28"/>
          <w:szCs w:val="28"/>
          <w:lang w:val="kk-KZ"/>
        </w:rPr>
      </w:pPr>
      <w:r w:rsidRPr="00ED0FEA">
        <w:rPr>
          <w:color w:val="auto"/>
          <w:sz w:val="28"/>
          <w:szCs w:val="28"/>
          <w:lang w:val="kk-KZ"/>
        </w:rPr>
        <w:t>1</w:t>
      </w:r>
      <w:r>
        <w:rPr>
          <w:color w:val="auto"/>
          <w:sz w:val="28"/>
          <w:szCs w:val="28"/>
          <w:lang w:val="kk-KZ"/>
        </w:rPr>
        <w:t>.</w:t>
      </w:r>
      <w:r w:rsidRPr="00ED0FEA">
        <w:rPr>
          <w:color w:val="auto"/>
          <w:sz w:val="28"/>
          <w:szCs w:val="28"/>
          <w:lang w:val="kk-KZ"/>
        </w:rPr>
        <w:t xml:space="preserve"> Дэвид Бринкерхоф, Роуз Уейтс, Сюзан Ортега «Әлеуметтану негіздері» (Essentials of Sociology). – Алматы: Ұлттық аударма бюросы, 2018. – 464 б. (</w:t>
      </w:r>
      <w:r w:rsidRPr="00ED0FEA">
        <w:rPr>
          <w:sz w:val="28"/>
          <w:szCs w:val="28"/>
          <w:lang w:val="kk-KZ"/>
        </w:rPr>
        <w:t xml:space="preserve">281-309 </w:t>
      </w:r>
      <w:r w:rsidRPr="00ED0FEA">
        <w:rPr>
          <w:color w:val="auto"/>
          <w:sz w:val="28"/>
          <w:szCs w:val="28"/>
          <w:lang w:val="kk-KZ"/>
        </w:rPr>
        <w:t>б.)</w:t>
      </w:r>
    </w:p>
    <w:p w:rsidR="00FE1F91" w:rsidRPr="0077099E" w:rsidRDefault="00FE1F91">
      <w:pPr>
        <w:rPr>
          <w:lang w:val="kk-KZ"/>
        </w:rPr>
      </w:pPr>
    </w:p>
    <w:sectPr w:rsidR="00FE1F91" w:rsidRPr="00770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E1F91"/>
    <w:rsid w:val="0077099E"/>
    <w:rsid w:val="00FE1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9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7099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2020-03-26T14:58:00Z</dcterms:created>
  <dcterms:modified xsi:type="dcterms:W3CDTF">2020-03-26T14:58:00Z</dcterms:modified>
</cp:coreProperties>
</file>